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D74B3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74B3C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6.15pt;margin-top:19.8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</w:t>
                    </w:r>
                    <w:r w:rsidR="008543F3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</w:t>
                    </w: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505</w:t>
                    </w:r>
                    <w:r w:rsidR="008543F3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. 25 </w:t>
                    </w:r>
                  </w:p>
                  <w:p w:rsidR="00BB278B" w:rsidRDefault="00BB278B" w:rsidP="00BB278B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BB278B" w:rsidRDefault="00415257" w:rsidP="0041525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Руденко</w:t>
                      </w:r>
                    </w:p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BB278B" w:rsidRDefault="00BB278B" w:rsidP="00BB278B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BB278B" w:rsidRPr="00CA728D" w:rsidRDefault="00CA728D" w:rsidP="00CA728D">
                    <w:pPr>
                      <w:jc w:val="center"/>
                      <w:rPr>
                        <w:rFonts w:ascii="Times New Roman" w:hAnsi="Times New Roman" w:cs="Times New Roman"/>
                        <w:sz w:val="26"/>
                        <w:szCs w:val="26"/>
                        <w:lang w:val="uk-UA"/>
                      </w:rPr>
                    </w:pPr>
                    <w:r w:rsidRPr="00CA728D">
                      <w:rPr>
                        <w:rFonts w:ascii="Times New Roman" w:hAnsi="Times New Roman" w:cs="Times New Roman"/>
                        <w:sz w:val="26"/>
                        <w:szCs w:val="26"/>
                        <w:lang w:val="uk-UA"/>
                      </w:rPr>
                      <w:t>Вивчення конструкції та електричних схем вмикання блоків маршрутного набору.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BB278B" w:rsidRDefault="00BB278B" w:rsidP="00BB278B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BB278B">
        <w:rPr>
          <w:rFonts w:ascii="Times New Roman" w:hAnsi="Times New Roman" w:cs="Times New Roman"/>
          <w:sz w:val="28"/>
          <w:szCs w:val="28"/>
          <w:lang w:val="uk-UA"/>
        </w:rPr>
        <w:t>Мета: вивчення конструкції та електричних схем вмикання блоків маршрутного набору.</w:t>
      </w:r>
    </w:p>
    <w:p w:rsidR="00BB278B" w:rsidRDefault="00BB278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Відповіді на контрольні запитання:</w:t>
      </w:r>
    </w:p>
    <w:p w:rsidR="00BB278B" w:rsidRPr="00AB45F8" w:rsidRDefault="008E0F6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1.Блоки маршрутного набору призначені для реалізації маршрутного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способа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стрілками і світлофорами.                                                                      2.Основний маршрут встановлюють натисканням кнопок «початок» і «кінець» маршруту. Варіантний маршрут встановлюють натисканням на пульті кнопки початку і кнопок світлофорів які знаходяться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задаваємому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маршруті.                                                                                                                     3.Правильність набору маршруту контролюється схемою відповідності.             4.Набір </w:t>
      </w:r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маршруту на табло контролюється горінням зелених лампочок біля світлофорів, які встановлені по трасі маршруту.                                                       5.Допоміжне управління використовують у випадках,якщо не працює схема відповідності.                                                                                                              6.Реле УК встановлюють в блоках НСС,призначені для 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вибора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 основного варіанта маршруту по 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відклонінню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 по стрілкам.                                                        7.Маршрутний набір працює по таким електричним схемам:11-включення реле КН; 12-включення реле АКН;13-включення реле 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ПУ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; 14-схема СС.    8.Схема відповідності призначена для перевірки відповідності між 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встановлюємим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 маршрутом і фактично </w:t>
      </w:r>
      <w:proofErr w:type="spellStart"/>
      <w:r w:rsidR="002A7AD5">
        <w:rPr>
          <w:rFonts w:ascii="Times New Roman" w:hAnsi="Times New Roman" w:cs="Times New Roman"/>
          <w:sz w:val="28"/>
          <w:szCs w:val="28"/>
          <w:lang w:val="uk-UA"/>
        </w:rPr>
        <w:t>встановившимся</w:t>
      </w:r>
      <w:proofErr w:type="spellEnd"/>
      <w:r w:rsidR="002A7AD5">
        <w:rPr>
          <w:rFonts w:ascii="Times New Roman" w:hAnsi="Times New Roman" w:cs="Times New Roman"/>
          <w:sz w:val="28"/>
          <w:szCs w:val="28"/>
          <w:lang w:val="uk-UA"/>
        </w:rPr>
        <w:t>. По схемі СС спрацьовує початкове реле виконавчої групи.                                                         9.</w:t>
      </w:r>
      <w:r w:rsidR="00AB45F8">
        <w:rPr>
          <w:rFonts w:ascii="Times New Roman" w:hAnsi="Times New Roman" w:cs="Times New Roman"/>
          <w:sz w:val="28"/>
          <w:szCs w:val="28"/>
          <w:lang w:val="uk-UA"/>
        </w:rPr>
        <w:t xml:space="preserve">Реле  АКН призначені для встановлення маршруту через світлофор, не натискаючи кнопки даного світлофора.                                                                        10.Реле 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ПУ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призначені для переводу стрілок.                                                          11.Противоповторні реле необхідні для однократного включення реле 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 xml:space="preserve">,С  (виконавча група) . 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Противоповторні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 xml:space="preserve"> реле включаються в тих блоках,у яких поїзна </w:t>
      </w:r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45F8">
        <w:rPr>
          <w:rFonts w:ascii="Times New Roman" w:hAnsi="Times New Roman" w:cs="Times New Roman"/>
          <w:sz w:val="28"/>
          <w:szCs w:val="28"/>
          <w:lang w:val="uk-UA"/>
        </w:rPr>
        <w:t>або маневрова кнопка була натиснута в якості початкової.                          Кнопкові реле необхідні для фіксації дій ДСП. Допоміжні реле включаються в блоках маневрових світлофорів,варіантної кнопки  по трасі маршруту . Необхідні для утворення кіл АКН;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ПУ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 w:rsidR="00AB45F8">
        <w:rPr>
          <w:rFonts w:ascii="Times New Roman" w:hAnsi="Times New Roman" w:cs="Times New Roman"/>
          <w:sz w:val="28"/>
          <w:szCs w:val="28"/>
          <w:lang w:val="uk-UA"/>
        </w:rPr>
        <w:t>МУ</w:t>
      </w:r>
      <w:proofErr w:type="spellEnd"/>
      <w:r w:rsidR="00AB45F8">
        <w:rPr>
          <w:rFonts w:ascii="Times New Roman" w:hAnsi="Times New Roman" w:cs="Times New Roman"/>
          <w:sz w:val="28"/>
          <w:szCs w:val="28"/>
          <w:lang w:val="uk-UA"/>
        </w:rPr>
        <w:t xml:space="preserve"> при встановлені маршруту.</w:t>
      </w:r>
      <w:r w:rsidR="002A7AD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sectPr w:rsidR="00BB278B" w:rsidRPr="00AB45F8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78B"/>
    <w:rsid w:val="0012481E"/>
    <w:rsid w:val="002225FE"/>
    <w:rsid w:val="002A7AD5"/>
    <w:rsid w:val="00325B62"/>
    <w:rsid w:val="00415257"/>
    <w:rsid w:val="007B28E1"/>
    <w:rsid w:val="008543F3"/>
    <w:rsid w:val="008E0F62"/>
    <w:rsid w:val="00AB45F8"/>
    <w:rsid w:val="00BB278B"/>
    <w:rsid w:val="00BE2294"/>
    <w:rsid w:val="00CA728D"/>
    <w:rsid w:val="00D74B3C"/>
    <w:rsid w:val="00F36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BB278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dcterms:created xsi:type="dcterms:W3CDTF">2009-04-30T17:55:00Z</dcterms:created>
  <dcterms:modified xsi:type="dcterms:W3CDTF">2009-05-02T10:26:00Z</dcterms:modified>
</cp:coreProperties>
</file>